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19A" w:rsidRPr="0064766F" w:rsidRDefault="0033019A" w:rsidP="0033019A">
      <w:pPr>
        <w:pStyle w:val="CRCoverPage"/>
        <w:tabs>
          <w:tab w:val="right" w:pos="9639"/>
        </w:tabs>
        <w:spacing w:after="0"/>
        <w:rPr>
          <w:rFonts w:eastAsiaTheme="minorEastAsia"/>
          <w:b/>
          <w:i/>
          <w:noProof/>
          <w:sz w:val="28"/>
          <w:lang w:eastAsia="ko-KR"/>
        </w:rPr>
      </w:pPr>
      <w:bookmarkStart w:id="0" w:name="_GoBack"/>
      <w:bookmarkEnd w:id="0"/>
      <w:r>
        <w:rPr>
          <w:b/>
          <w:noProof/>
          <w:sz w:val="24"/>
        </w:rPr>
        <w:t>3GPP TSG-RAN WG2 Meeting #</w:t>
      </w:r>
      <w:r w:rsidR="0091127F">
        <w:rPr>
          <w:rFonts w:eastAsia="맑은 고딕" w:hint="eastAsia"/>
          <w:b/>
          <w:noProof/>
          <w:sz w:val="24"/>
          <w:lang w:eastAsia="ko-KR"/>
        </w:rPr>
        <w:t>91</w:t>
      </w:r>
      <w:r>
        <w:rPr>
          <w:b/>
          <w:i/>
          <w:noProof/>
          <w:sz w:val="28"/>
        </w:rPr>
        <w:tab/>
        <w:t>R2-</w:t>
      </w:r>
      <w:r w:rsidR="00080C44" w:rsidRPr="00FC7BA8">
        <w:rPr>
          <w:b/>
          <w:i/>
          <w:noProof/>
          <w:sz w:val="28"/>
        </w:rPr>
        <w:t>15</w:t>
      </w:r>
      <w:r w:rsidR="00080C44">
        <w:rPr>
          <w:rFonts w:eastAsiaTheme="minorEastAsia" w:hint="eastAsia"/>
          <w:b/>
          <w:i/>
          <w:noProof/>
          <w:sz w:val="28"/>
          <w:lang w:eastAsia="ko-KR"/>
        </w:rPr>
        <w:t>3450</w:t>
      </w:r>
    </w:p>
    <w:p w:rsidR="0033019A" w:rsidRPr="00FD609B" w:rsidRDefault="0091127F" w:rsidP="0033019A">
      <w:pPr>
        <w:pStyle w:val="CRCoverPage"/>
        <w:outlineLvl w:val="0"/>
        <w:rPr>
          <w:rFonts w:eastAsiaTheme="minorEastAsia"/>
          <w:b/>
          <w:noProof/>
          <w:sz w:val="24"/>
        </w:rPr>
      </w:pPr>
      <w:r>
        <w:rPr>
          <w:rFonts w:eastAsiaTheme="minorEastAsia" w:hint="eastAsia"/>
          <w:b/>
          <w:noProof/>
          <w:sz w:val="24"/>
          <w:lang w:eastAsia="ko-KR"/>
        </w:rPr>
        <w:t>Beijing, China, Aug. 24</w:t>
      </w:r>
      <w:r w:rsidR="0064766F">
        <w:rPr>
          <w:rFonts w:hint="eastAsia"/>
          <w:b/>
          <w:noProof/>
          <w:sz w:val="24"/>
          <w:lang w:eastAsia="ko-KR"/>
        </w:rPr>
        <w:t xml:space="preserve"> </w:t>
      </w:r>
      <w:r w:rsidR="0064766F">
        <w:rPr>
          <w:b/>
          <w:noProof/>
          <w:sz w:val="24"/>
          <w:lang w:eastAsia="ko-KR"/>
        </w:rPr>
        <w:t>–</w:t>
      </w:r>
      <w:r w:rsidR="0064766F">
        <w:rPr>
          <w:rFonts w:hint="eastAsia"/>
          <w:b/>
          <w:noProof/>
          <w:sz w:val="24"/>
          <w:lang w:eastAsia="ko-KR"/>
        </w:rPr>
        <w:t xml:space="preserve"> </w:t>
      </w:r>
      <w:r>
        <w:rPr>
          <w:rFonts w:eastAsiaTheme="minorEastAsia" w:hint="eastAsia"/>
          <w:b/>
          <w:noProof/>
          <w:sz w:val="24"/>
          <w:lang w:eastAsia="ko-KR"/>
        </w:rPr>
        <w:t>Aug. 28</w:t>
      </w:r>
      <w:r w:rsidR="0064766F">
        <w:rPr>
          <w:rFonts w:hint="eastAsia"/>
          <w:b/>
          <w:noProof/>
          <w:sz w:val="24"/>
          <w:lang w:eastAsia="ko-KR"/>
        </w:rPr>
        <w:t>, 2015</w:t>
      </w:r>
      <w:r w:rsidR="00FD609B">
        <w:rPr>
          <w:rFonts w:eastAsiaTheme="minorEastAsia" w:hint="eastAsia"/>
          <w:b/>
          <w:noProof/>
          <w:sz w:val="24"/>
          <w:lang w:eastAsia="ko-KR"/>
        </w:rPr>
        <w:t xml:space="preserve">        </w:t>
      </w:r>
      <w:r w:rsidR="00785D24">
        <w:rPr>
          <w:rFonts w:eastAsiaTheme="minorEastAsia" w:hint="eastAsia"/>
          <w:b/>
          <w:noProof/>
          <w:sz w:val="24"/>
          <w:lang w:eastAsia="ko-KR"/>
        </w:rPr>
        <w:t xml:space="preserve">                                </w:t>
      </w:r>
    </w:p>
    <w:p w:rsidR="0033019A" w:rsidRDefault="0033019A" w:rsidP="0033019A">
      <w:pPr>
        <w:pStyle w:val="a4"/>
        <w:rPr>
          <w:noProof w:val="0"/>
          <w:lang w:val="en-GB"/>
        </w:rPr>
      </w:pPr>
    </w:p>
    <w:p w:rsidR="0033019A" w:rsidRDefault="0033019A" w:rsidP="00277F19">
      <w:pPr>
        <w:tabs>
          <w:tab w:val="left" w:pos="1985"/>
        </w:tabs>
        <w:ind w:left="2018" w:hangingChars="841" w:hanging="2018"/>
        <w:rPr>
          <w:rFonts w:ascii="Arial" w:hAnsi="Arial"/>
          <w:sz w:val="24"/>
        </w:rPr>
      </w:pPr>
      <w:r>
        <w:rPr>
          <w:rFonts w:ascii="Arial" w:hAnsi="Arial"/>
          <w:b/>
          <w:sz w:val="24"/>
        </w:rPr>
        <w:t>Agenda item:</w:t>
      </w:r>
      <w:bookmarkStart w:id="1" w:name="Source"/>
      <w:bookmarkEnd w:id="1"/>
      <w:r>
        <w:rPr>
          <w:rFonts w:ascii="Arial" w:hAnsi="Arial" w:hint="eastAsia"/>
          <w:b/>
          <w:sz w:val="24"/>
        </w:rPr>
        <w:tab/>
      </w:r>
      <w:r w:rsidRPr="0064766F">
        <w:rPr>
          <w:rFonts w:ascii="Arial" w:hAnsi="Arial" w:hint="eastAsia"/>
          <w:sz w:val="24"/>
        </w:rPr>
        <w:t>7.</w:t>
      </w:r>
      <w:r w:rsidR="00A936F6">
        <w:rPr>
          <w:rFonts w:ascii="Arial" w:hAnsi="Arial" w:hint="eastAsia"/>
          <w:sz w:val="24"/>
        </w:rPr>
        <w:t>7</w:t>
      </w:r>
    </w:p>
    <w:p w:rsidR="0033019A" w:rsidRPr="0064766F" w:rsidRDefault="0033019A" w:rsidP="00277F19">
      <w:pPr>
        <w:tabs>
          <w:tab w:val="left" w:pos="1985"/>
        </w:tabs>
        <w:ind w:left="2018" w:hangingChars="841" w:hanging="2018"/>
        <w:rPr>
          <w:rFonts w:ascii="Arial" w:hAnsi="Arial"/>
          <w:sz w:val="24"/>
        </w:rPr>
      </w:pPr>
      <w:r w:rsidRPr="00AD18FB">
        <w:rPr>
          <w:rFonts w:ascii="Arial" w:hAnsi="Arial"/>
          <w:b/>
          <w:sz w:val="24"/>
        </w:rPr>
        <w:t>Source:</w:t>
      </w:r>
      <w:r w:rsidRPr="00AD18FB">
        <w:rPr>
          <w:rFonts w:ascii="Arial" w:hAnsi="Arial" w:hint="eastAsia"/>
          <w:b/>
          <w:sz w:val="24"/>
        </w:rPr>
        <w:tab/>
      </w:r>
      <w:r w:rsidRPr="0064766F">
        <w:rPr>
          <w:rFonts w:ascii="Arial" w:hAnsi="Arial" w:hint="eastAsia"/>
          <w:sz w:val="24"/>
        </w:rPr>
        <w:t>LG Electronics Inc.</w:t>
      </w:r>
    </w:p>
    <w:p w:rsidR="0033019A" w:rsidRPr="00AD18FB" w:rsidRDefault="0033019A" w:rsidP="0033019A">
      <w:pPr>
        <w:tabs>
          <w:tab w:val="left" w:pos="1985"/>
        </w:tabs>
        <w:ind w:left="1980" w:hanging="1980"/>
        <w:rPr>
          <w:rFonts w:ascii="Arial" w:hAnsi="Arial"/>
          <w:b/>
          <w:sz w:val="24"/>
        </w:rPr>
      </w:pPr>
      <w:r w:rsidRPr="00AD18FB">
        <w:rPr>
          <w:rFonts w:ascii="Arial" w:hAnsi="Arial"/>
          <w:b/>
          <w:sz w:val="24"/>
        </w:rPr>
        <w:t xml:space="preserve">Title: </w:t>
      </w:r>
      <w:r w:rsidRPr="00AD18FB">
        <w:rPr>
          <w:rFonts w:ascii="Arial" w:hAnsi="Arial"/>
          <w:b/>
          <w:sz w:val="24"/>
        </w:rPr>
        <w:tab/>
      </w:r>
      <w:r w:rsidR="00FD609B">
        <w:rPr>
          <w:rFonts w:ascii="Arial" w:hAnsi="Arial" w:hint="eastAsia"/>
          <w:color w:val="000000" w:themeColor="text1"/>
          <w:sz w:val="24"/>
        </w:rPr>
        <w:t>RS-SINR m</w:t>
      </w:r>
      <w:r w:rsidR="00FD609B" w:rsidRPr="00D64411">
        <w:rPr>
          <w:rFonts w:ascii="Arial" w:hAnsi="Arial" w:hint="eastAsia"/>
          <w:color w:val="000000" w:themeColor="text1"/>
          <w:sz w:val="24"/>
        </w:rPr>
        <w:t xml:space="preserve">easurement </w:t>
      </w:r>
      <w:r w:rsidR="00FC625C">
        <w:rPr>
          <w:rFonts w:ascii="Arial" w:hAnsi="Arial" w:hint="eastAsia"/>
          <w:color w:val="000000" w:themeColor="text1"/>
          <w:sz w:val="24"/>
        </w:rPr>
        <w:t xml:space="preserve">condition triggered by RSRQ measurement </w:t>
      </w:r>
      <w:r w:rsidR="00FD609B" w:rsidRPr="00D64411">
        <w:rPr>
          <w:rFonts w:ascii="Arial" w:hAnsi="Arial" w:hint="eastAsia"/>
          <w:color w:val="000000" w:themeColor="text1"/>
          <w:sz w:val="24"/>
        </w:rPr>
        <w:t>for load balancing</w:t>
      </w:r>
    </w:p>
    <w:p w:rsidR="00374A58" w:rsidRDefault="0033019A" w:rsidP="003A71AB">
      <w:pPr>
        <w:tabs>
          <w:tab w:val="left" w:pos="1985"/>
        </w:tabs>
        <w:ind w:left="1980" w:hanging="1980"/>
        <w:rPr>
          <w:rFonts w:ascii="Arial" w:hAnsi="Arial"/>
          <w:sz w:val="24"/>
        </w:rPr>
      </w:pPr>
      <w:r w:rsidRPr="00AD18FB">
        <w:rPr>
          <w:rFonts w:ascii="Arial" w:hAnsi="Arial"/>
          <w:b/>
          <w:sz w:val="24"/>
        </w:rPr>
        <w:t>Document for:</w:t>
      </w:r>
      <w:r w:rsidRPr="00AD18FB">
        <w:rPr>
          <w:rFonts w:ascii="Arial" w:hAnsi="Arial"/>
          <w:b/>
          <w:sz w:val="24"/>
        </w:rPr>
        <w:tab/>
      </w:r>
      <w:bookmarkStart w:id="2" w:name="DocumentFor"/>
      <w:bookmarkEnd w:id="2"/>
      <w:r w:rsidRPr="0064766F">
        <w:rPr>
          <w:rFonts w:ascii="Arial" w:hAnsi="Arial"/>
          <w:sz w:val="24"/>
        </w:rPr>
        <w:t>Discussion</w:t>
      </w:r>
      <w:r w:rsidRPr="0064766F">
        <w:rPr>
          <w:rFonts w:ascii="Arial" w:hAnsi="Arial" w:hint="eastAsia"/>
          <w:sz w:val="24"/>
        </w:rPr>
        <w:t xml:space="preserve"> and Decision</w:t>
      </w:r>
    </w:p>
    <w:p w:rsidR="003A71AB" w:rsidRPr="003A71AB" w:rsidRDefault="003A71AB" w:rsidP="003A71AB">
      <w:pPr>
        <w:tabs>
          <w:tab w:val="left" w:pos="1985"/>
        </w:tabs>
        <w:ind w:left="1980" w:hanging="1980"/>
        <w:rPr>
          <w:rFonts w:ascii="Arial" w:hAnsi="Arial"/>
          <w:sz w:val="12"/>
          <w:szCs w:val="12"/>
        </w:rPr>
      </w:pPr>
    </w:p>
    <w:p w:rsidR="005B5980" w:rsidRPr="00922877" w:rsidRDefault="00407292" w:rsidP="003A71AB">
      <w:pPr>
        <w:pStyle w:val="a"/>
        <w:sectPr w:rsidR="005B5980" w:rsidRPr="00922877" w:rsidSect="00855640">
          <w:pgSz w:w="11907" w:h="16839" w:code="9"/>
          <w:pgMar w:top="1418" w:right="1134" w:bottom="1134" w:left="1134" w:header="720" w:footer="720" w:gutter="0"/>
          <w:cols w:space="720"/>
          <w:docGrid w:linePitch="360"/>
        </w:sectPr>
      </w:pPr>
      <w:r>
        <w:rPr>
          <w:rFonts w:hint="eastAsia"/>
        </w:rPr>
        <w:t>Introduction</w:t>
      </w:r>
    </w:p>
    <w:p w:rsidR="00FD609B" w:rsidRPr="000053AD" w:rsidRDefault="00794795" w:rsidP="00FD609B">
      <w:pPr>
        <w:pStyle w:val="af5"/>
        <w:rPr>
          <w:rFonts w:eastAsia="한컴바탕"/>
          <w:color w:val="000000" w:themeColor="text1"/>
        </w:rPr>
      </w:pPr>
      <w:r>
        <w:rPr>
          <w:rFonts w:eastAsia="한컴바탕" w:hint="eastAsia"/>
          <w:color w:val="000000" w:themeColor="text1"/>
        </w:rPr>
        <w:lastRenderedPageBreak/>
        <w:t xml:space="preserve">In the </w:t>
      </w:r>
      <w:r w:rsidR="00FD609B" w:rsidRPr="000053AD">
        <w:rPr>
          <w:rFonts w:eastAsia="한컴바탕" w:hint="eastAsia"/>
          <w:color w:val="000000" w:themeColor="text1"/>
        </w:rPr>
        <w:t xml:space="preserve">RAN2 meeting #89bis, RAN2 discussed requirements targeted in the WI [1] titled </w:t>
      </w:r>
      <w:r w:rsidR="00FD609B" w:rsidRPr="000053AD">
        <w:rPr>
          <w:rFonts w:eastAsia="한컴바탕"/>
          <w:color w:val="000000" w:themeColor="text1"/>
        </w:rPr>
        <w:t>“</w:t>
      </w:r>
      <w:r w:rsidR="00FD609B" w:rsidRPr="000053AD">
        <w:rPr>
          <w:rFonts w:eastAsia="한컴바탕" w:hint="eastAsia"/>
          <w:color w:val="000000" w:themeColor="text1"/>
        </w:rPr>
        <w:t>Multicarrier Load Distribution</w:t>
      </w:r>
      <w:r w:rsidR="00FD609B" w:rsidRPr="000053AD">
        <w:rPr>
          <w:rFonts w:eastAsia="한컴바탕"/>
          <w:color w:val="000000" w:themeColor="text1"/>
        </w:rPr>
        <w:t>”</w:t>
      </w:r>
      <w:r w:rsidR="00FD609B" w:rsidRPr="000053AD">
        <w:rPr>
          <w:rFonts w:eastAsia="한컴바탕" w:hint="eastAsia"/>
          <w:color w:val="000000" w:themeColor="text1"/>
        </w:rPr>
        <w:t xml:space="preserve"> and agreed followings:</w:t>
      </w:r>
    </w:p>
    <w:p w:rsidR="00FD609B" w:rsidRPr="000053AD" w:rsidRDefault="00FD609B" w:rsidP="00FD609B">
      <w:pPr>
        <w:pStyle w:val="af5"/>
        <w:rPr>
          <w:rFonts w:eastAsia="한컴바탕"/>
          <w:color w:val="000000" w:themeColor="text1"/>
          <w:sz w:val="12"/>
          <w:szCs w:val="12"/>
        </w:rPr>
      </w:pPr>
    </w:p>
    <w:p w:rsidR="00FD609B" w:rsidRPr="000053AD" w:rsidRDefault="00FD609B" w:rsidP="00FD609B">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360" w:lineRule="auto"/>
        <w:ind w:firstLine="720"/>
        <w:rPr>
          <w:rFonts w:eastAsia="한컴바탕"/>
          <w:i/>
          <w:color w:val="000000" w:themeColor="text1"/>
        </w:rPr>
      </w:pPr>
      <w:r w:rsidRPr="000053AD">
        <w:rPr>
          <w:rFonts w:eastAsia="한컴바탕"/>
          <w:i/>
          <w:color w:val="000000" w:themeColor="text1"/>
        </w:rPr>
        <w:t>…</w:t>
      </w:r>
    </w:p>
    <w:p w:rsidR="00FD609B" w:rsidRPr="000053AD" w:rsidRDefault="00FD609B" w:rsidP="00FD609B">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360" w:lineRule="auto"/>
        <w:ind w:firstLine="720"/>
        <w:rPr>
          <w:rFonts w:eastAsia="한컴바탕"/>
          <w:i/>
          <w:color w:val="000000" w:themeColor="text1"/>
        </w:rPr>
      </w:pPr>
      <w:r w:rsidRPr="000053AD">
        <w:rPr>
          <w:rFonts w:eastAsia="한컴바탕"/>
          <w:i/>
          <w:color w:val="000000" w:themeColor="text1"/>
        </w:rPr>
        <w:t>7)</w:t>
      </w:r>
      <w:r w:rsidRPr="000053AD">
        <w:rPr>
          <w:rFonts w:eastAsia="한컴바탕" w:hint="eastAsia"/>
          <w:i/>
          <w:color w:val="000000" w:themeColor="text1"/>
        </w:rPr>
        <w:t xml:space="preserve"> </w:t>
      </w:r>
      <w:r w:rsidRPr="000053AD">
        <w:rPr>
          <w:rFonts w:eastAsia="한컴바탕"/>
          <w:i/>
          <w:color w:val="000000" w:themeColor="text1"/>
        </w:rPr>
        <w:t>Maximize user throughput and network capacity (in terms of system throughput, connection establishment,</w:t>
      </w:r>
    </w:p>
    <w:p w:rsidR="00FD609B" w:rsidRPr="000053AD" w:rsidRDefault="00FD609B" w:rsidP="00FD609B">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360" w:lineRule="auto"/>
        <w:ind w:firstLine="720"/>
        <w:rPr>
          <w:rFonts w:eastAsia="한컴바탕"/>
          <w:i/>
          <w:color w:val="000000" w:themeColor="text1"/>
        </w:rPr>
      </w:pPr>
      <w:r w:rsidRPr="000053AD">
        <w:rPr>
          <w:rFonts w:eastAsia="한컴바탕"/>
          <w:i/>
          <w:color w:val="000000" w:themeColor="text1"/>
        </w:rPr>
        <w:t xml:space="preserve"> RA, (inter-frequency) mobility related </w:t>
      </w:r>
      <w:proofErr w:type="spellStart"/>
      <w:r w:rsidRPr="000053AD">
        <w:rPr>
          <w:rFonts w:eastAsia="한컴바탕"/>
          <w:i/>
          <w:color w:val="000000" w:themeColor="text1"/>
        </w:rPr>
        <w:t>signalling</w:t>
      </w:r>
      <w:proofErr w:type="spellEnd"/>
      <w:r w:rsidRPr="000053AD">
        <w:rPr>
          <w:rFonts w:eastAsia="한컴바탕"/>
          <w:i/>
          <w:color w:val="000000" w:themeColor="text1"/>
        </w:rPr>
        <w:t>) for UEs in CONNECTED.</w:t>
      </w:r>
    </w:p>
    <w:p w:rsidR="00FD609B" w:rsidRPr="000053AD" w:rsidRDefault="00FD609B" w:rsidP="00FD609B">
      <w:pPr>
        <w:pStyle w:val="af5"/>
        <w:rPr>
          <w:rFonts w:eastAsia="한컴바탕"/>
          <w:color w:val="000000" w:themeColor="text1"/>
          <w:sz w:val="12"/>
          <w:szCs w:val="12"/>
        </w:rPr>
      </w:pPr>
    </w:p>
    <w:p w:rsidR="00904B88" w:rsidRPr="000053AD" w:rsidRDefault="00FD609B" w:rsidP="00FD609B">
      <w:pPr>
        <w:pStyle w:val="af5"/>
        <w:rPr>
          <w:rFonts w:eastAsia="한컴바탕"/>
          <w:color w:val="000000" w:themeColor="text1"/>
        </w:rPr>
      </w:pPr>
      <w:r w:rsidRPr="000053AD">
        <w:rPr>
          <w:rFonts w:eastAsia="한컴바탕" w:hint="eastAsia"/>
          <w:color w:val="000000" w:themeColor="text1"/>
        </w:rPr>
        <w:t>In order to maximize UE throughput, RAN2 considers RS-SINR measurement for load balancin</w:t>
      </w:r>
      <w:r w:rsidR="008E1A69">
        <w:rPr>
          <w:rFonts w:eastAsia="한컴바탕" w:hint="eastAsia"/>
          <w:color w:val="000000" w:themeColor="text1"/>
        </w:rPr>
        <w:t xml:space="preserve">g in RRC_CONNECTED. In the </w:t>
      </w:r>
      <w:r w:rsidR="008E1A69" w:rsidRPr="000053AD">
        <w:rPr>
          <w:rFonts w:eastAsia="한컴바탕" w:hint="eastAsia"/>
          <w:color w:val="000000" w:themeColor="text1"/>
        </w:rPr>
        <w:t>RAN2 meeting #89bis</w:t>
      </w:r>
      <w:r w:rsidRPr="000053AD">
        <w:rPr>
          <w:rFonts w:eastAsia="한컴바탕" w:hint="eastAsia"/>
          <w:color w:val="000000" w:themeColor="text1"/>
        </w:rPr>
        <w:t xml:space="preserve">, many companies addressed limitation of RS-SINR measurements and RAN2 sent </w:t>
      </w:r>
      <w:proofErr w:type="gramStart"/>
      <w:r w:rsidRPr="000053AD">
        <w:rPr>
          <w:rFonts w:eastAsia="한컴바탕" w:hint="eastAsia"/>
          <w:color w:val="000000" w:themeColor="text1"/>
        </w:rPr>
        <w:t>a LS</w:t>
      </w:r>
      <w:proofErr w:type="gramEnd"/>
      <w:r w:rsidRPr="000053AD">
        <w:rPr>
          <w:rFonts w:eastAsia="한컴바탕" w:hint="eastAsia"/>
          <w:color w:val="000000" w:themeColor="text1"/>
        </w:rPr>
        <w:t xml:space="preserve"> [2] to check RS-SINR measurement feasibility. In addition to the several proposals [2]-[6], we further discuss the additional considerations on RS-SINR measurement for load balancing</w:t>
      </w:r>
      <w:r w:rsidR="00FC625C">
        <w:rPr>
          <w:rFonts w:eastAsia="한컴바탕" w:hint="eastAsia"/>
          <w:color w:val="000000" w:themeColor="text1"/>
        </w:rPr>
        <w:t xml:space="preserve"> and propose RS-SINR measurement condition triggered by RSRQ measurement</w:t>
      </w:r>
      <w:r w:rsidRPr="000053AD">
        <w:rPr>
          <w:rFonts w:eastAsia="한컴바탕" w:hint="eastAsia"/>
          <w:color w:val="000000" w:themeColor="text1"/>
        </w:rPr>
        <w:t>.</w:t>
      </w:r>
    </w:p>
    <w:p w:rsidR="0033162F" w:rsidRPr="00FC625C" w:rsidRDefault="0033162F" w:rsidP="00E05216">
      <w:pPr>
        <w:pStyle w:val="af5"/>
        <w:rPr>
          <w:rFonts w:eastAsiaTheme="minorEastAsia"/>
          <w:sz w:val="12"/>
          <w:szCs w:val="12"/>
        </w:rPr>
      </w:pPr>
    </w:p>
    <w:p w:rsidR="00374A58" w:rsidRDefault="00374A58" w:rsidP="00374A58">
      <w:pPr>
        <w:pStyle w:val="a"/>
      </w:pPr>
      <w:r>
        <w:rPr>
          <w:rFonts w:hint="eastAsia"/>
        </w:rPr>
        <w:t>Discussion</w:t>
      </w:r>
    </w:p>
    <w:p w:rsidR="00FD609B" w:rsidRDefault="00FD609B" w:rsidP="00FD609B">
      <w:pPr>
        <w:jc w:val="both"/>
        <w:rPr>
          <w:rFonts w:ascii="Times New Roman" w:hAnsi="Times New Roman" w:cs="Times New Roman"/>
          <w:color w:val="000000" w:themeColor="text1"/>
          <w:sz w:val="20"/>
          <w:szCs w:val="20"/>
        </w:rPr>
      </w:pPr>
      <w:r w:rsidRPr="00A16747">
        <w:rPr>
          <w:rFonts w:ascii="Times New Roman" w:hAnsi="Times New Roman" w:cs="Times New Roman" w:hint="eastAsia"/>
          <w:color w:val="000000" w:themeColor="text1"/>
          <w:sz w:val="20"/>
          <w:szCs w:val="20"/>
        </w:rPr>
        <w:t xml:space="preserve">In the several proposals [2]-[6], many companies addressed that the current RSRQ measurement does not provide </w:t>
      </w:r>
      <w:r w:rsidRPr="00A16747">
        <w:rPr>
          <w:rFonts w:ascii="Times New Roman" w:hAnsi="Times New Roman" w:cs="Times New Roman"/>
          <w:color w:val="000000" w:themeColor="text1"/>
          <w:sz w:val="20"/>
          <w:szCs w:val="20"/>
        </w:rPr>
        <w:t>good representation of achievable throughput</w:t>
      </w:r>
      <w:r w:rsidRPr="00A16747">
        <w:rPr>
          <w:rFonts w:ascii="Times New Roman" w:hAnsi="Times New Roman" w:cs="Times New Roman" w:hint="eastAsia"/>
          <w:color w:val="000000" w:themeColor="text1"/>
          <w:sz w:val="20"/>
          <w:szCs w:val="20"/>
        </w:rPr>
        <w:t xml:space="preserve"> in the higher SINR region.</w:t>
      </w:r>
      <w:r>
        <w:rPr>
          <w:rFonts w:ascii="Times New Roman" w:hAnsi="Times New Roman" w:cs="Times New Roman" w:hint="eastAsia"/>
          <w:color w:val="000000" w:themeColor="text1"/>
          <w:sz w:val="20"/>
          <w:szCs w:val="20"/>
        </w:rPr>
        <w:t xml:space="preserve"> As a result, RAN2 considers </w:t>
      </w:r>
      <w:r w:rsidRPr="00AD4707">
        <w:rPr>
          <w:rFonts w:ascii="Times New Roman" w:hAnsi="Times New Roman" w:cs="Times New Roman" w:hint="eastAsia"/>
          <w:color w:val="000000" w:themeColor="text1"/>
          <w:sz w:val="20"/>
          <w:szCs w:val="20"/>
        </w:rPr>
        <w:t>RS-SINR measurement for load balancing</w:t>
      </w:r>
      <w:r>
        <w:rPr>
          <w:rFonts w:ascii="Times New Roman" w:hAnsi="Times New Roman" w:cs="Times New Roman" w:hint="eastAsia"/>
          <w:color w:val="000000" w:themeColor="text1"/>
          <w:sz w:val="20"/>
          <w:szCs w:val="20"/>
        </w:rPr>
        <w:t>. Since different types of RS-SINR measurements (narrow band or wideband) provide different level of measurement accuracy and it is difficult to support inter-frequency RS-SINR measurement with measurement gap for non-serving cells, the RS-SINR measurement should be carefully considered for load balancing mechanism.</w:t>
      </w:r>
    </w:p>
    <w:p w:rsidR="00FD609B" w:rsidRDefault="00FD609B" w:rsidP="00FD609B">
      <w:pPr>
        <w:jc w:val="both"/>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Since the current RSRQ measurement provides good representation of user throughput in lower SINR region and has low complexity, it is beneficial to consider the current RSRQ measurement for load balancing in the lower SINR region. When we consider the difficulty to support the inter-frequency measurement, the dynamic range of RSRQ in terms of SINR can be a good factor to determine which type of measurements is useful for load balancing mechanism in a given SINR region.</w:t>
      </w:r>
    </w:p>
    <w:p w:rsidR="00794795" w:rsidRDefault="00794795" w:rsidP="00794795">
      <w:pPr>
        <w:jc w:val="both"/>
        <w:rPr>
          <w:rFonts w:ascii="Times New Roman" w:hAnsi="Times New Roman" w:cs="Times New Roman"/>
          <w:sz w:val="20"/>
          <w:szCs w:val="20"/>
        </w:rPr>
      </w:pPr>
      <w:r>
        <w:rPr>
          <w:rFonts w:ascii="Times New Roman" w:hAnsi="Times New Roman" w:cs="Times New Roman" w:hint="eastAsia"/>
          <w:sz w:val="20"/>
          <w:szCs w:val="20"/>
        </w:rPr>
        <w:t>Since RS-SINR has the complexity in implementation compared to RSRP, we propose a RS-SINR measurement condition triggered by the RSRQ measurement. For load balancing, UE determines whenever it needs to additionally measure the RS-SINR measurement as well as RSRP/RSRQ. With a threshold to specify a boundary of the dynamic range of RSRQ in terms of SINR, the UE needs to additionally measure the RS-SINR in higher SINR region. The threshold may be set by the curve specifying the characteristics between SINR and RSRQ as shown in the Figure 1.</w:t>
      </w:r>
    </w:p>
    <w:p w:rsidR="00794795" w:rsidRDefault="00794795" w:rsidP="00794795">
      <w:pPr>
        <w:jc w:val="center"/>
        <w:rPr>
          <w:rFonts w:ascii="Times New Roman" w:hAnsi="Times New Roman" w:cs="Times New Roman"/>
          <w:sz w:val="20"/>
          <w:szCs w:val="20"/>
        </w:rPr>
      </w:pPr>
      <w:r>
        <w:rPr>
          <w:rFonts w:ascii="Times New Roman" w:hAnsi="Times New Roman" w:cs="Times New Roman" w:hint="eastAsia"/>
          <w:noProof/>
          <w:sz w:val="20"/>
          <w:szCs w:val="20"/>
        </w:rPr>
        <w:lastRenderedPageBreak/>
        <w:drawing>
          <wp:inline distT="0" distB="0" distL="0" distR="0" wp14:anchorId="2797E562" wp14:editId="0947B4F9">
            <wp:extent cx="2602039" cy="1778000"/>
            <wp:effectExtent l="0" t="0" r="825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01637" cy="1777725"/>
                    </a:xfrm>
                    <a:prstGeom prst="rect">
                      <a:avLst/>
                    </a:prstGeom>
                    <a:noFill/>
                    <a:ln>
                      <a:noFill/>
                    </a:ln>
                  </pic:spPr>
                </pic:pic>
              </a:graphicData>
            </a:graphic>
          </wp:inline>
        </w:drawing>
      </w:r>
    </w:p>
    <w:p w:rsidR="00794795" w:rsidRPr="008E1A69" w:rsidRDefault="00794795" w:rsidP="00794795">
      <w:pPr>
        <w:jc w:val="center"/>
        <w:rPr>
          <w:rFonts w:ascii="Arial" w:hAnsi="Arial" w:cs="Arial"/>
          <w:sz w:val="16"/>
          <w:szCs w:val="16"/>
        </w:rPr>
      </w:pPr>
      <w:proofErr w:type="gramStart"/>
      <w:r w:rsidRPr="008E1A69">
        <w:rPr>
          <w:rFonts w:ascii="Arial" w:hAnsi="Arial" w:cs="Arial"/>
          <w:sz w:val="16"/>
          <w:szCs w:val="16"/>
        </w:rPr>
        <w:t>Figure 1.</w:t>
      </w:r>
      <w:proofErr w:type="gramEnd"/>
      <w:r w:rsidRPr="008E1A69">
        <w:rPr>
          <w:rFonts w:ascii="Arial" w:hAnsi="Arial" w:cs="Arial"/>
          <w:sz w:val="16"/>
          <w:szCs w:val="16"/>
        </w:rPr>
        <w:t xml:space="preserve"> RSRQ-SINR Curve</w:t>
      </w:r>
    </w:p>
    <w:p w:rsidR="00794795" w:rsidRDefault="00794795" w:rsidP="00794795">
      <w:pPr>
        <w:jc w:val="both"/>
        <w:rPr>
          <w:rFonts w:ascii="Times New Roman" w:hAnsi="Times New Roman" w:cs="Times New Roman"/>
          <w:sz w:val="20"/>
          <w:szCs w:val="20"/>
        </w:rPr>
      </w:pPr>
      <w:r>
        <w:rPr>
          <w:rFonts w:ascii="Times New Roman" w:hAnsi="Times New Roman" w:cs="Times New Roman" w:hint="eastAsia"/>
          <w:sz w:val="20"/>
          <w:szCs w:val="20"/>
        </w:rPr>
        <w:t xml:space="preserve">UE </w:t>
      </w:r>
      <w:r w:rsidR="00591008">
        <w:rPr>
          <w:rFonts w:ascii="Times New Roman" w:hAnsi="Times New Roman" w:cs="Times New Roman" w:hint="eastAsia"/>
          <w:sz w:val="20"/>
          <w:szCs w:val="20"/>
        </w:rPr>
        <w:t xml:space="preserve">is required to </w:t>
      </w:r>
      <w:r>
        <w:rPr>
          <w:rFonts w:ascii="Times New Roman" w:hAnsi="Times New Roman" w:cs="Times New Roman" w:hint="eastAsia"/>
          <w:sz w:val="20"/>
          <w:szCs w:val="20"/>
        </w:rPr>
        <w:t>measure RS-SINR if the following condition is satisfied:</w:t>
      </w:r>
    </w:p>
    <w:p w:rsidR="00794795" w:rsidRDefault="00794795" w:rsidP="00794795">
      <w:pPr>
        <w:jc w:val="both"/>
        <w:rPr>
          <w:rFonts w:ascii="Times New Roman" w:hAnsi="Times New Roman" w:cs="Times New Roman"/>
          <w:sz w:val="20"/>
          <w:szCs w:val="20"/>
        </w:rPr>
      </w:pPr>
      <w:r>
        <w:rPr>
          <w:rFonts w:ascii="Times New Roman" w:hAnsi="Times New Roman" w:cs="Times New Roman" w:hint="eastAsia"/>
          <w:sz w:val="20"/>
          <w:szCs w:val="20"/>
        </w:rPr>
        <w:tab/>
        <w:t xml:space="preserve">N_RSRQ &gt; </w:t>
      </w:r>
      <w:proofErr w:type="spellStart"/>
      <w:r>
        <w:rPr>
          <w:rFonts w:ascii="Times New Roman" w:hAnsi="Times New Roman" w:cs="Times New Roman" w:hint="eastAsia"/>
          <w:sz w:val="20"/>
          <w:szCs w:val="20"/>
        </w:rPr>
        <w:t>Th_RSRQ</w:t>
      </w:r>
      <w:proofErr w:type="spellEnd"/>
    </w:p>
    <w:p w:rsidR="00794795" w:rsidRDefault="00794795" w:rsidP="00794795">
      <w:pPr>
        <w:jc w:val="both"/>
        <w:rPr>
          <w:rFonts w:ascii="Times New Roman" w:hAnsi="Times New Roman" w:cs="Times New Roman"/>
          <w:sz w:val="20"/>
          <w:szCs w:val="20"/>
        </w:rPr>
      </w:pPr>
      <w:proofErr w:type="gramStart"/>
      <w:r>
        <w:rPr>
          <w:rFonts w:ascii="Times New Roman" w:hAnsi="Times New Roman" w:cs="Times New Roman" w:hint="eastAsia"/>
          <w:sz w:val="20"/>
          <w:szCs w:val="20"/>
        </w:rPr>
        <w:t>where</w:t>
      </w:r>
      <w:proofErr w:type="gramEnd"/>
      <w:r>
        <w:rPr>
          <w:rFonts w:ascii="Times New Roman" w:hAnsi="Times New Roman" w:cs="Times New Roman" w:hint="eastAsia"/>
          <w:sz w:val="20"/>
          <w:szCs w:val="20"/>
        </w:rPr>
        <w:t xml:space="preserve"> N_RSRQ and </w:t>
      </w:r>
      <w:proofErr w:type="spellStart"/>
      <w:r>
        <w:rPr>
          <w:rFonts w:ascii="Times New Roman" w:hAnsi="Times New Roman" w:cs="Times New Roman" w:hint="eastAsia"/>
          <w:sz w:val="20"/>
          <w:szCs w:val="20"/>
        </w:rPr>
        <w:t>Th_RSRQ</w:t>
      </w:r>
      <w:proofErr w:type="spellEnd"/>
      <w:r>
        <w:rPr>
          <w:rFonts w:ascii="Times New Roman" w:hAnsi="Times New Roman" w:cs="Times New Roman" w:hint="eastAsia"/>
          <w:sz w:val="20"/>
          <w:szCs w:val="20"/>
        </w:rPr>
        <w:t xml:space="preserve"> are the RSRQ measurement value of neighbor cell and the threshold specifying the dynamic range of RSRQ, respectively. If RSRQ measurement of a neighbor cell is better than threshold specifying dynamic range of RSRQ, UE performs RS-SINR measurements of the neighbor cell. If RSRQ measurement of a neighbor cell is less than the threshold, the UE does not perform the RS-SINR measurement of the cell or UE is allowed to not perform the RS-SINR measurement of the cell. </w:t>
      </w:r>
    </w:p>
    <w:p w:rsidR="00603D56" w:rsidRDefault="00603D56" w:rsidP="00603D56">
      <w:pPr>
        <w:jc w:val="both"/>
        <w:rPr>
          <w:rFonts w:ascii="Times New Roman" w:hAnsi="Times New Roman" w:cs="Times New Roman"/>
          <w:sz w:val="20"/>
          <w:szCs w:val="20"/>
        </w:rPr>
      </w:pPr>
      <w:r w:rsidRPr="004322D0">
        <w:rPr>
          <w:rFonts w:ascii="Times New Roman" w:hAnsi="Times New Roman" w:cs="Times New Roman" w:hint="eastAsia"/>
          <w:b/>
          <w:color w:val="000000" w:themeColor="text1"/>
          <w:sz w:val="20"/>
          <w:szCs w:val="20"/>
        </w:rPr>
        <w:t>Proposal</w:t>
      </w:r>
      <w:r>
        <w:rPr>
          <w:rFonts w:ascii="Times New Roman" w:hAnsi="Times New Roman" w:cs="Times New Roman" w:hint="eastAsia"/>
          <w:b/>
          <w:color w:val="000000" w:themeColor="text1"/>
          <w:sz w:val="20"/>
          <w:szCs w:val="20"/>
        </w:rPr>
        <w:t xml:space="preserve"> </w:t>
      </w:r>
      <w:r w:rsidR="00402E0F">
        <w:rPr>
          <w:rFonts w:ascii="Times New Roman" w:hAnsi="Times New Roman" w:cs="Times New Roman" w:hint="eastAsia"/>
          <w:b/>
          <w:color w:val="000000" w:themeColor="text1"/>
          <w:sz w:val="20"/>
          <w:szCs w:val="20"/>
        </w:rPr>
        <w:t>1</w:t>
      </w:r>
      <w:r>
        <w:rPr>
          <w:rFonts w:ascii="Times New Roman" w:hAnsi="Times New Roman" w:cs="Times New Roman" w:hint="eastAsia"/>
          <w:color w:val="000000" w:themeColor="text1"/>
          <w:sz w:val="20"/>
          <w:szCs w:val="20"/>
        </w:rPr>
        <w:t xml:space="preserve">: </w:t>
      </w:r>
      <w:r>
        <w:rPr>
          <w:rFonts w:ascii="Times New Roman" w:hAnsi="Times New Roman" w:cs="Times New Roman" w:hint="eastAsia"/>
          <w:sz w:val="20"/>
          <w:szCs w:val="20"/>
        </w:rPr>
        <w:t xml:space="preserve">RS-SINR measurement </w:t>
      </w:r>
      <w:r w:rsidR="00402E0F">
        <w:rPr>
          <w:rFonts w:ascii="Times New Roman" w:hAnsi="Times New Roman" w:cs="Times New Roman" w:hint="eastAsia"/>
          <w:sz w:val="20"/>
          <w:szCs w:val="20"/>
        </w:rPr>
        <w:t xml:space="preserve">of a cell (PCell) </w:t>
      </w:r>
      <w:r w:rsidR="008E1A69">
        <w:rPr>
          <w:rFonts w:ascii="Times New Roman" w:hAnsi="Times New Roman" w:cs="Times New Roman" w:hint="eastAsia"/>
          <w:sz w:val="20"/>
          <w:szCs w:val="20"/>
        </w:rPr>
        <w:t xml:space="preserve">should be </w:t>
      </w:r>
      <w:r>
        <w:rPr>
          <w:rFonts w:ascii="Times New Roman" w:hAnsi="Times New Roman" w:cs="Times New Roman" w:hint="eastAsia"/>
          <w:sz w:val="20"/>
          <w:szCs w:val="20"/>
        </w:rPr>
        <w:t xml:space="preserve">triggered </w:t>
      </w:r>
      <w:r w:rsidR="00402E0F">
        <w:rPr>
          <w:rFonts w:ascii="Times New Roman" w:hAnsi="Times New Roman" w:cs="Times New Roman" w:hint="eastAsia"/>
          <w:sz w:val="20"/>
          <w:szCs w:val="20"/>
        </w:rPr>
        <w:t>when RSRQ measurement of the cell is beyond the threshold.</w:t>
      </w:r>
    </w:p>
    <w:p w:rsidR="00D5451D" w:rsidRPr="004322D0" w:rsidRDefault="00D5451D" w:rsidP="00277F19">
      <w:pPr>
        <w:rPr>
          <w:rFonts w:ascii="Times New Roman" w:hAnsi="Times New Roman" w:cs="Times New Roman"/>
          <w:b/>
          <w:sz w:val="12"/>
          <w:szCs w:val="12"/>
        </w:rPr>
      </w:pPr>
    </w:p>
    <w:p w:rsidR="00D5451D" w:rsidRDefault="00D5451D" w:rsidP="0007400D">
      <w:pPr>
        <w:pStyle w:val="a"/>
      </w:pPr>
      <w:r>
        <w:rPr>
          <w:rFonts w:hint="eastAsia"/>
        </w:rPr>
        <w:t>Conclusion</w:t>
      </w:r>
    </w:p>
    <w:p w:rsidR="00402E0F" w:rsidRDefault="00402E0F" w:rsidP="00402E0F">
      <w:pPr>
        <w:jc w:val="both"/>
        <w:rPr>
          <w:rFonts w:ascii="Times New Roman" w:hAnsi="Times New Roman" w:cs="Times New Roman"/>
          <w:sz w:val="20"/>
          <w:szCs w:val="20"/>
        </w:rPr>
      </w:pPr>
      <w:r w:rsidRPr="004322D0">
        <w:rPr>
          <w:rFonts w:ascii="Times New Roman" w:hAnsi="Times New Roman" w:cs="Times New Roman" w:hint="eastAsia"/>
          <w:b/>
          <w:color w:val="000000" w:themeColor="text1"/>
          <w:sz w:val="20"/>
          <w:szCs w:val="20"/>
        </w:rPr>
        <w:t>Proposal</w:t>
      </w:r>
      <w:r>
        <w:rPr>
          <w:rFonts w:ascii="Times New Roman" w:hAnsi="Times New Roman" w:cs="Times New Roman" w:hint="eastAsia"/>
          <w:b/>
          <w:color w:val="000000" w:themeColor="text1"/>
          <w:sz w:val="20"/>
          <w:szCs w:val="20"/>
        </w:rPr>
        <w:t xml:space="preserve"> 1</w:t>
      </w:r>
      <w:r>
        <w:rPr>
          <w:rFonts w:ascii="Times New Roman" w:hAnsi="Times New Roman" w:cs="Times New Roman" w:hint="eastAsia"/>
          <w:color w:val="000000" w:themeColor="text1"/>
          <w:sz w:val="20"/>
          <w:szCs w:val="20"/>
        </w:rPr>
        <w:t xml:space="preserve">: </w:t>
      </w:r>
      <w:r>
        <w:rPr>
          <w:rFonts w:ascii="Times New Roman" w:hAnsi="Times New Roman" w:cs="Times New Roman" w:hint="eastAsia"/>
          <w:sz w:val="20"/>
          <w:szCs w:val="20"/>
        </w:rPr>
        <w:t>RS-SINR measurement of a cell (PCell) should be triggered when RSRQ measurement of the cell is beyond the threshold.</w:t>
      </w:r>
    </w:p>
    <w:p w:rsidR="008E1A69" w:rsidRPr="008E1A69" w:rsidRDefault="008E1A69" w:rsidP="004322D0">
      <w:pPr>
        <w:jc w:val="both"/>
        <w:rPr>
          <w:rFonts w:ascii="Times New Roman" w:hAnsi="Times New Roman" w:cs="Times New Roman"/>
          <w:color w:val="FF0000"/>
          <w:sz w:val="12"/>
          <w:szCs w:val="12"/>
        </w:rPr>
      </w:pPr>
    </w:p>
    <w:p w:rsidR="0007400D" w:rsidRDefault="00374A58" w:rsidP="0007400D">
      <w:pPr>
        <w:pStyle w:val="a"/>
      </w:pPr>
      <w:r>
        <w:rPr>
          <w:rFonts w:hint="eastAsia"/>
        </w:rPr>
        <w:t>References</w:t>
      </w:r>
    </w:p>
    <w:p w:rsidR="00FD609B" w:rsidRDefault="00FD609B" w:rsidP="00FD609B">
      <w:pPr>
        <w:rPr>
          <w:rFonts w:ascii="Times New Roman" w:hAnsi="Times New Roman" w:cs="Times New Roman"/>
          <w:sz w:val="20"/>
          <w:szCs w:val="20"/>
        </w:rPr>
      </w:pPr>
      <w:r w:rsidRPr="00362506">
        <w:rPr>
          <w:rFonts w:ascii="Times New Roman" w:hAnsi="Times New Roman" w:cs="Times New Roman" w:hint="eastAsia"/>
          <w:sz w:val="20"/>
          <w:szCs w:val="20"/>
        </w:rPr>
        <w:t>[1]</w:t>
      </w:r>
      <w:r>
        <w:rPr>
          <w:rFonts w:ascii="Times New Roman" w:hAnsi="Times New Roman" w:cs="Times New Roman" w:hint="eastAsia"/>
          <w:sz w:val="20"/>
          <w:szCs w:val="20"/>
        </w:rPr>
        <w:t xml:space="preserve"> RP-150491, </w:t>
      </w:r>
      <w:r>
        <w:rPr>
          <w:rFonts w:ascii="Times New Roman" w:hAnsi="Times New Roman" w:cs="Times New Roman"/>
          <w:sz w:val="20"/>
          <w:szCs w:val="20"/>
        </w:rPr>
        <w:t>“</w:t>
      </w:r>
      <w:r>
        <w:rPr>
          <w:rFonts w:ascii="Times New Roman" w:hAnsi="Times New Roman" w:cs="Times New Roman" w:hint="eastAsia"/>
          <w:sz w:val="20"/>
          <w:szCs w:val="20"/>
        </w:rPr>
        <w:t>New WI proposal for Multicarrier Load Distribution of UEs in LTE,</w:t>
      </w:r>
      <w:r>
        <w:rPr>
          <w:rFonts w:ascii="Times New Roman" w:hAnsi="Times New Roman" w:cs="Times New Roman"/>
          <w:sz w:val="20"/>
          <w:szCs w:val="20"/>
        </w:rPr>
        <w:t>”</w:t>
      </w:r>
      <w:r>
        <w:rPr>
          <w:rFonts w:ascii="Times New Roman" w:hAnsi="Times New Roman" w:cs="Times New Roman" w:hint="eastAsia"/>
          <w:sz w:val="20"/>
          <w:szCs w:val="20"/>
        </w:rPr>
        <w:t xml:space="preserve"> Verizon, China Telecom, et al.</w:t>
      </w:r>
    </w:p>
    <w:p w:rsidR="00FD609B" w:rsidRDefault="00FD609B" w:rsidP="00FD609B">
      <w:pPr>
        <w:rPr>
          <w:rFonts w:ascii="Times New Roman" w:hAnsi="Times New Roman" w:cs="Times New Roman"/>
          <w:sz w:val="20"/>
          <w:szCs w:val="20"/>
        </w:rPr>
      </w:pPr>
      <w:r>
        <w:rPr>
          <w:rFonts w:ascii="Times New Roman" w:hAnsi="Times New Roman" w:cs="Times New Roman" w:hint="eastAsia"/>
          <w:sz w:val="20"/>
          <w:szCs w:val="20"/>
        </w:rPr>
        <w:t xml:space="preserve">[2] </w:t>
      </w:r>
      <w:r w:rsidRPr="00362506">
        <w:rPr>
          <w:rFonts w:ascii="Times New Roman" w:hAnsi="Times New Roman" w:cs="Times New Roman"/>
          <w:sz w:val="20"/>
          <w:szCs w:val="20"/>
        </w:rPr>
        <w:t>R2-151785</w:t>
      </w:r>
      <w:r>
        <w:rPr>
          <w:rFonts w:ascii="Times New Roman" w:hAnsi="Times New Roman" w:cs="Times New Roman" w:hint="eastAsia"/>
          <w:sz w:val="20"/>
          <w:szCs w:val="20"/>
        </w:rPr>
        <w:t>,</w:t>
      </w:r>
      <w:r>
        <w:rPr>
          <w:rFonts w:ascii="Times New Roman" w:hAnsi="Times New Roman" w:cs="Times New Roman"/>
          <w:sz w:val="20"/>
          <w:szCs w:val="20"/>
        </w:rPr>
        <w:t xml:space="preserve"> “</w:t>
      </w:r>
      <w:r w:rsidRPr="00362506">
        <w:rPr>
          <w:rFonts w:ascii="Times New Roman" w:hAnsi="Times New Roman" w:cs="Times New Roman"/>
          <w:sz w:val="20"/>
          <w:szCs w:val="20"/>
        </w:rPr>
        <w:t>LS on a new measurement quantity for Multicarrier Load Distribution,</w:t>
      </w:r>
      <w:r>
        <w:rPr>
          <w:rFonts w:ascii="Times New Roman" w:hAnsi="Times New Roman" w:cs="Times New Roman"/>
          <w:sz w:val="20"/>
          <w:szCs w:val="20"/>
        </w:rPr>
        <w:t>”</w:t>
      </w:r>
      <w:r w:rsidRPr="00362506">
        <w:rPr>
          <w:rFonts w:ascii="Times New Roman" w:hAnsi="Times New Roman" w:cs="Times New Roman"/>
          <w:sz w:val="20"/>
          <w:szCs w:val="20"/>
        </w:rPr>
        <w:t xml:space="preserve"> RAN2</w:t>
      </w:r>
    </w:p>
    <w:p w:rsidR="00FD609B" w:rsidRDefault="00FD609B" w:rsidP="00FD609B">
      <w:pPr>
        <w:rPr>
          <w:rFonts w:ascii="Times New Roman" w:hAnsi="Times New Roman" w:cs="Times New Roman"/>
          <w:sz w:val="20"/>
          <w:szCs w:val="20"/>
        </w:rPr>
      </w:pPr>
      <w:r>
        <w:rPr>
          <w:rFonts w:ascii="Times New Roman" w:hAnsi="Times New Roman" w:cs="Times New Roman" w:hint="eastAsia"/>
          <w:sz w:val="20"/>
          <w:szCs w:val="20"/>
        </w:rPr>
        <w:t xml:space="preserve">[3] R2-151156, </w:t>
      </w:r>
      <w:r>
        <w:rPr>
          <w:rFonts w:ascii="Times New Roman" w:hAnsi="Times New Roman" w:cs="Times New Roman"/>
          <w:sz w:val="20"/>
          <w:szCs w:val="20"/>
        </w:rPr>
        <w:t>“</w:t>
      </w:r>
      <w:r>
        <w:rPr>
          <w:rFonts w:ascii="Times New Roman" w:hAnsi="Times New Roman" w:cs="Times New Roman" w:hint="eastAsia"/>
          <w:sz w:val="20"/>
          <w:szCs w:val="20"/>
        </w:rPr>
        <w:t>Measurement quantities for load balancing,</w:t>
      </w:r>
      <w:r>
        <w:rPr>
          <w:rFonts w:ascii="Times New Roman" w:hAnsi="Times New Roman" w:cs="Times New Roman"/>
          <w:sz w:val="20"/>
          <w:szCs w:val="20"/>
        </w:rPr>
        <w:t>”</w:t>
      </w:r>
      <w:r>
        <w:rPr>
          <w:rFonts w:ascii="Times New Roman" w:hAnsi="Times New Roman" w:cs="Times New Roman" w:hint="eastAsia"/>
          <w:sz w:val="20"/>
          <w:szCs w:val="20"/>
        </w:rPr>
        <w:t xml:space="preserve"> Nokia Networks</w:t>
      </w:r>
    </w:p>
    <w:p w:rsidR="00FD609B" w:rsidRDefault="00FD609B" w:rsidP="00FD609B">
      <w:pPr>
        <w:rPr>
          <w:rFonts w:ascii="Times New Roman" w:hAnsi="Times New Roman" w:cs="Times New Roman"/>
          <w:sz w:val="20"/>
          <w:szCs w:val="20"/>
        </w:rPr>
      </w:pPr>
      <w:r>
        <w:rPr>
          <w:rFonts w:ascii="Times New Roman" w:hAnsi="Times New Roman" w:cs="Times New Roman" w:hint="eastAsia"/>
          <w:sz w:val="20"/>
          <w:szCs w:val="20"/>
        </w:rPr>
        <w:t xml:space="preserve">[4] R2-151057, </w:t>
      </w:r>
      <w:r>
        <w:rPr>
          <w:rFonts w:ascii="Times New Roman" w:hAnsi="Times New Roman" w:cs="Times New Roman"/>
          <w:sz w:val="20"/>
          <w:szCs w:val="20"/>
        </w:rPr>
        <w:t>“</w:t>
      </w:r>
      <w:r>
        <w:rPr>
          <w:rFonts w:ascii="Times New Roman" w:hAnsi="Times New Roman" w:cs="Times New Roman" w:hint="eastAsia"/>
          <w:sz w:val="20"/>
          <w:szCs w:val="20"/>
        </w:rPr>
        <w:t>Limitations of the current measurement qualities for load balancing in multiple carrier deployments,</w:t>
      </w:r>
      <w:r>
        <w:rPr>
          <w:rFonts w:ascii="Times New Roman" w:hAnsi="Times New Roman" w:cs="Times New Roman"/>
          <w:sz w:val="20"/>
          <w:szCs w:val="20"/>
        </w:rPr>
        <w:t>”</w:t>
      </w:r>
      <w:r>
        <w:rPr>
          <w:rFonts w:ascii="Times New Roman" w:hAnsi="Times New Roman" w:cs="Times New Roman" w:hint="eastAsia"/>
          <w:sz w:val="20"/>
          <w:szCs w:val="20"/>
        </w:rPr>
        <w:t xml:space="preserve"> NTT DOCOMO, CMCC, et al.</w:t>
      </w:r>
    </w:p>
    <w:p w:rsidR="00FD609B" w:rsidRDefault="00FD609B" w:rsidP="00FD609B">
      <w:pPr>
        <w:rPr>
          <w:rFonts w:ascii="Times New Roman" w:hAnsi="Times New Roman" w:cs="Times New Roman"/>
          <w:sz w:val="20"/>
          <w:szCs w:val="20"/>
        </w:rPr>
      </w:pPr>
      <w:r>
        <w:rPr>
          <w:rFonts w:ascii="Times New Roman" w:hAnsi="Times New Roman" w:cs="Times New Roman" w:hint="eastAsia"/>
          <w:sz w:val="20"/>
          <w:szCs w:val="20"/>
        </w:rPr>
        <w:t xml:space="preserve">[5] R2-151213, </w:t>
      </w:r>
      <w:r>
        <w:rPr>
          <w:rFonts w:ascii="Times New Roman" w:hAnsi="Times New Roman" w:cs="Times New Roman"/>
          <w:sz w:val="20"/>
          <w:szCs w:val="20"/>
        </w:rPr>
        <w:t>“</w:t>
      </w:r>
      <w:r>
        <w:rPr>
          <w:rFonts w:ascii="Times New Roman" w:hAnsi="Times New Roman" w:cs="Times New Roman" w:hint="eastAsia"/>
          <w:sz w:val="20"/>
          <w:szCs w:val="20"/>
        </w:rPr>
        <w:t>Discussion on introducing RS-SINR measurement,</w:t>
      </w:r>
      <w:r>
        <w:rPr>
          <w:rFonts w:ascii="Times New Roman" w:hAnsi="Times New Roman" w:cs="Times New Roman"/>
          <w:sz w:val="20"/>
          <w:szCs w:val="20"/>
        </w:rPr>
        <w:t>”</w:t>
      </w:r>
      <w:r>
        <w:rPr>
          <w:rFonts w:ascii="Times New Roman" w:hAnsi="Times New Roman" w:cs="Times New Roman" w:hint="eastAsia"/>
          <w:sz w:val="20"/>
          <w:szCs w:val="20"/>
        </w:rPr>
        <w:t xml:space="preserve"> CMCC</w:t>
      </w:r>
    </w:p>
    <w:p w:rsidR="00FE4720" w:rsidRPr="00362506" w:rsidRDefault="00FD609B" w:rsidP="00FD609B">
      <w:pPr>
        <w:rPr>
          <w:rFonts w:ascii="Times New Roman" w:hAnsi="Times New Roman" w:cs="Times New Roman"/>
          <w:sz w:val="20"/>
          <w:szCs w:val="20"/>
        </w:rPr>
      </w:pPr>
      <w:r>
        <w:rPr>
          <w:rFonts w:ascii="Times New Roman" w:hAnsi="Times New Roman" w:cs="Times New Roman" w:hint="eastAsia"/>
          <w:sz w:val="20"/>
          <w:szCs w:val="20"/>
        </w:rPr>
        <w:t xml:space="preserve">[6] R2-151089, </w:t>
      </w:r>
      <w:r>
        <w:rPr>
          <w:rFonts w:ascii="Times New Roman" w:hAnsi="Times New Roman" w:cs="Times New Roman"/>
          <w:sz w:val="20"/>
          <w:szCs w:val="20"/>
        </w:rPr>
        <w:t>“</w:t>
      </w:r>
      <w:r>
        <w:rPr>
          <w:rFonts w:ascii="Times New Roman" w:hAnsi="Times New Roman" w:cs="Times New Roman" w:hint="eastAsia"/>
          <w:sz w:val="20"/>
          <w:szCs w:val="20"/>
        </w:rPr>
        <w:t>Consideration on RS-SINR measurement,</w:t>
      </w:r>
      <w:r>
        <w:rPr>
          <w:rFonts w:ascii="Times New Roman" w:hAnsi="Times New Roman" w:cs="Times New Roman"/>
          <w:sz w:val="20"/>
          <w:szCs w:val="20"/>
        </w:rPr>
        <w:t>”</w:t>
      </w:r>
      <w:r>
        <w:rPr>
          <w:rFonts w:ascii="Times New Roman" w:hAnsi="Times New Roman" w:cs="Times New Roman" w:hint="eastAsia"/>
          <w:sz w:val="20"/>
          <w:szCs w:val="20"/>
        </w:rPr>
        <w:t xml:space="preserve"> Qualcomm Inc. NTT DOCOMO</w:t>
      </w:r>
    </w:p>
    <w:sectPr w:rsidR="00FE4720" w:rsidRPr="00362506" w:rsidSect="005B5980">
      <w:type w:val="continuous"/>
      <w:pgSz w:w="11907" w:h="16839"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75C" w:rsidRDefault="0089475C" w:rsidP="0007400D">
      <w:pPr>
        <w:spacing w:after="0" w:line="240" w:lineRule="auto"/>
      </w:pPr>
      <w:r>
        <w:separator/>
      </w:r>
    </w:p>
  </w:endnote>
  <w:endnote w:type="continuationSeparator" w:id="0">
    <w:p w:rsidR="0089475C" w:rsidRDefault="0089475C" w:rsidP="00074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roman"/>
    <w:notTrueType/>
    <w:pitch w:val="fixed"/>
    <w:sig w:usb0="00000001" w:usb1="09060000" w:usb2="00000010" w:usb3="00000000" w:csb0="00080000" w:csb1="00000000"/>
  </w:font>
  <w:font w:name="한컴바탕">
    <w:panose1 w:val="02030600000101010101"/>
    <w:charset w:val="81"/>
    <w:family w:val="roman"/>
    <w:pitch w:val="variable"/>
    <w:sig w:usb0="F7FFAFFF" w:usb1="FBDFFFFF" w:usb2="00FFFFFF" w:usb3="00000000" w:csb0="8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75C" w:rsidRDefault="0089475C" w:rsidP="0007400D">
      <w:pPr>
        <w:spacing w:after="0" w:line="240" w:lineRule="auto"/>
      </w:pPr>
      <w:r>
        <w:separator/>
      </w:r>
    </w:p>
  </w:footnote>
  <w:footnote w:type="continuationSeparator" w:id="0">
    <w:p w:rsidR="0089475C" w:rsidRDefault="0089475C" w:rsidP="00074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F5BF8"/>
    <w:multiLevelType w:val="hybridMultilevel"/>
    <w:tmpl w:val="4EBE29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E207017"/>
    <w:multiLevelType w:val="hybridMultilevel"/>
    <w:tmpl w:val="AC7CA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E2038C4"/>
    <w:multiLevelType w:val="hybridMultilevel"/>
    <w:tmpl w:val="8960AB98"/>
    <w:lvl w:ilvl="0" w:tplc="97F28A34">
      <w:start w:val="1"/>
      <w:numFmt w:val="decimal"/>
      <w:pStyle w:val="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34A"/>
    <w:rsid w:val="00000630"/>
    <w:rsid w:val="00000E17"/>
    <w:rsid w:val="000053AD"/>
    <w:rsid w:val="00026726"/>
    <w:rsid w:val="0003038D"/>
    <w:rsid w:val="00030ABD"/>
    <w:rsid w:val="000443EC"/>
    <w:rsid w:val="00051C29"/>
    <w:rsid w:val="0007400D"/>
    <w:rsid w:val="00076B90"/>
    <w:rsid w:val="00080C44"/>
    <w:rsid w:val="0008285D"/>
    <w:rsid w:val="00087AF2"/>
    <w:rsid w:val="000D0A35"/>
    <w:rsid w:val="000D219B"/>
    <w:rsid w:val="000D69D4"/>
    <w:rsid w:val="000E7AF6"/>
    <w:rsid w:val="000F3F19"/>
    <w:rsid w:val="00107EC2"/>
    <w:rsid w:val="00114BD2"/>
    <w:rsid w:val="001211A5"/>
    <w:rsid w:val="00122971"/>
    <w:rsid w:val="00131278"/>
    <w:rsid w:val="00174987"/>
    <w:rsid w:val="00176A29"/>
    <w:rsid w:val="00181D1A"/>
    <w:rsid w:val="001A133B"/>
    <w:rsid w:val="001A4F04"/>
    <w:rsid w:val="001D3457"/>
    <w:rsid w:val="001D505F"/>
    <w:rsid w:val="001E337C"/>
    <w:rsid w:val="001E6E36"/>
    <w:rsid w:val="001F74BD"/>
    <w:rsid w:val="0020421F"/>
    <w:rsid w:val="00205123"/>
    <w:rsid w:val="002143F2"/>
    <w:rsid w:val="00214EEF"/>
    <w:rsid w:val="00215A86"/>
    <w:rsid w:val="0022414E"/>
    <w:rsid w:val="0022598A"/>
    <w:rsid w:val="00232D5D"/>
    <w:rsid w:val="002541D6"/>
    <w:rsid w:val="00267935"/>
    <w:rsid w:val="00273001"/>
    <w:rsid w:val="00277F19"/>
    <w:rsid w:val="002953D4"/>
    <w:rsid w:val="002A1CD7"/>
    <w:rsid w:val="002D33C9"/>
    <w:rsid w:val="002D48F2"/>
    <w:rsid w:val="002D5D39"/>
    <w:rsid w:val="002D74F8"/>
    <w:rsid w:val="002E3163"/>
    <w:rsid w:val="003035BE"/>
    <w:rsid w:val="00316000"/>
    <w:rsid w:val="0033019A"/>
    <w:rsid w:val="0033162F"/>
    <w:rsid w:val="00335598"/>
    <w:rsid w:val="00335FF8"/>
    <w:rsid w:val="00344BC9"/>
    <w:rsid w:val="0034719B"/>
    <w:rsid w:val="00352327"/>
    <w:rsid w:val="00353B61"/>
    <w:rsid w:val="00362506"/>
    <w:rsid w:val="003702FF"/>
    <w:rsid w:val="00374A58"/>
    <w:rsid w:val="00383C4A"/>
    <w:rsid w:val="00391ABF"/>
    <w:rsid w:val="00395020"/>
    <w:rsid w:val="003A4E23"/>
    <w:rsid w:val="003A71AB"/>
    <w:rsid w:val="003B30B9"/>
    <w:rsid w:val="003C672B"/>
    <w:rsid w:val="003E2C5F"/>
    <w:rsid w:val="003E76C7"/>
    <w:rsid w:val="003F15D6"/>
    <w:rsid w:val="003F23A1"/>
    <w:rsid w:val="003F3375"/>
    <w:rsid w:val="00402E0F"/>
    <w:rsid w:val="004044A7"/>
    <w:rsid w:val="0040582C"/>
    <w:rsid w:val="00407292"/>
    <w:rsid w:val="00422A0C"/>
    <w:rsid w:val="004322D0"/>
    <w:rsid w:val="004345EB"/>
    <w:rsid w:val="004511A8"/>
    <w:rsid w:val="00455A9A"/>
    <w:rsid w:val="00457AED"/>
    <w:rsid w:val="00463DA1"/>
    <w:rsid w:val="004641D3"/>
    <w:rsid w:val="0047134A"/>
    <w:rsid w:val="00482446"/>
    <w:rsid w:val="00494DDB"/>
    <w:rsid w:val="004A1E64"/>
    <w:rsid w:val="004C024C"/>
    <w:rsid w:val="004C6D13"/>
    <w:rsid w:val="004D3735"/>
    <w:rsid w:val="004E6205"/>
    <w:rsid w:val="004E757B"/>
    <w:rsid w:val="004F464C"/>
    <w:rsid w:val="004F5FAE"/>
    <w:rsid w:val="00500BDE"/>
    <w:rsid w:val="005045FF"/>
    <w:rsid w:val="00514157"/>
    <w:rsid w:val="00555F10"/>
    <w:rsid w:val="00562596"/>
    <w:rsid w:val="005639A9"/>
    <w:rsid w:val="00576C53"/>
    <w:rsid w:val="00586B1B"/>
    <w:rsid w:val="00591008"/>
    <w:rsid w:val="00596D29"/>
    <w:rsid w:val="005B03D8"/>
    <w:rsid w:val="005B0ACB"/>
    <w:rsid w:val="005B1554"/>
    <w:rsid w:val="005B5980"/>
    <w:rsid w:val="005B5AE2"/>
    <w:rsid w:val="005C1FED"/>
    <w:rsid w:val="005C2EA4"/>
    <w:rsid w:val="005D2F00"/>
    <w:rsid w:val="005F4114"/>
    <w:rsid w:val="005F68E3"/>
    <w:rsid w:val="00603D56"/>
    <w:rsid w:val="00610C68"/>
    <w:rsid w:val="006271FF"/>
    <w:rsid w:val="0063229D"/>
    <w:rsid w:val="00635C41"/>
    <w:rsid w:val="006429C3"/>
    <w:rsid w:val="00643ACC"/>
    <w:rsid w:val="0064766F"/>
    <w:rsid w:val="00660C2A"/>
    <w:rsid w:val="00667225"/>
    <w:rsid w:val="00675FC3"/>
    <w:rsid w:val="00677F78"/>
    <w:rsid w:val="0069229C"/>
    <w:rsid w:val="006951B8"/>
    <w:rsid w:val="00695A17"/>
    <w:rsid w:val="006A0DAF"/>
    <w:rsid w:val="006A6FD3"/>
    <w:rsid w:val="006B29C6"/>
    <w:rsid w:val="006B7F8F"/>
    <w:rsid w:val="006C2EB1"/>
    <w:rsid w:val="006D17BD"/>
    <w:rsid w:val="006D39B8"/>
    <w:rsid w:val="006F6A97"/>
    <w:rsid w:val="0073664C"/>
    <w:rsid w:val="0077127F"/>
    <w:rsid w:val="00785D24"/>
    <w:rsid w:val="00794795"/>
    <w:rsid w:val="007A0602"/>
    <w:rsid w:val="007C004A"/>
    <w:rsid w:val="007C51BC"/>
    <w:rsid w:val="007F0C78"/>
    <w:rsid w:val="00800E00"/>
    <w:rsid w:val="00823078"/>
    <w:rsid w:val="00824DDA"/>
    <w:rsid w:val="008361DB"/>
    <w:rsid w:val="00845431"/>
    <w:rsid w:val="00855640"/>
    <w:rsid w:val="00863DB8"/>
    <w:rsid w:val="00863FDF"/>
    <w:rsid w:val="00874CFE"/>
    <w:rsid w:val="008809AB"/>
    <w:rsid w:val="00890BF7"/>
    <w:rsid w:val="008913DB"/>
    <w:rsid w:val="0089475C"/>
    <w:rsid w:val="008A3A1C"/>
    <w:rsid w:val="008C14AE"/>
    <w:rsid w:val="008C7201"/>
    <w:rsid w:val="008D6133"/>
    <w:rsid w:val="008E1A69"/>
    <w:rsid w:val="008F521F"/>
    <w:rsid w:val="00900B13"/>
    <w:rsid w:val="00904B88"/>
    <w:rsid w:val="0091127F"/>
    <w:rsid w:val="0091174A"/>
    <w:rsid w:val="00917170"/>
    <w:rsid w:val="00922877"/>
    <w:rsid w:val="00932614"/>
    <w:rsid w:val="009401C3"/>
    <w:rsid w:val="00951FA2"/>
    <w:rsid w:val="0095574E"/>
    <w:rsid w:val="00965DFC"/>
    <w:rsid w:val="0099343D"/>
    <w:rsid w:val="009A41A6"/>
    <w:rsid w:val="009A7290"/>
    <w:rsid w:val="009C46C6"/>
    <w:rsid w:val="009F089E"/>
    <w:rsid w:val="00A16747"/>
    <w:rsid w:val="00A16BDA"/>
    <w:rsid w:val="00A17D7E"/>
    <w:rsid w:val="00A37906"/>
    <w:rsid w:val="00A37EEC"/>
    <w:rsid w:val="00A51444"/>
    <w:rsid w:val="00A65336"/>
    <w:rsid w:val="00A65FC6"/>
    <w:rsid w:val="00A80DAC"/>
    <w:rsid w:val="00A81F87"/>
    <w:rsid w:val="00A936F6"/>
    <w:rsid w:val="00AA03BD"/>
    <w:rsid w:val="00AB4BD7"/>
    <w:rsid w:val="00AC7FBB"/>
    <w:rsid w:val="00AD4707"/>
    <w:rsid w:val="00AE4A24"/>
    <w:rsid w:val="00AE71F9"/>
    <w:rsid w:val="00AF08B0"/>
    <w:rsid w:val="00B1076C"/>
    <w:rsid w:val="00B32B4E"/>
    <w:rsid w:val="00B4769E"/>
    <w:rsid w:val="00B64B5E"/>
    <w:rsid w:val="00BA3305"/>
    <w:rsid w:val="00BC6066"/>
    <w:rsid w:val="00BC7BE2"/>
    <w:rsid w:val="00BE0A21"/>
    <w:rsid w:val="00C12F04"/>
    <w:rsid w:val="00C12F93"/>
    <w:rsid w:val="00C2222E"/>
    <w:rsid w:val="00C30301"/>
    <w:rsid w:val="00C31A77"/>
    <w:rsid w:val="00C36C74"/>
    <w:rsid w:val="00C375A3"/>
    <w:rsid w:val="00C502C3"/>
    <w:rsid w:val="00C55260"/>
    <w:rsid w:val="00C738D0"/>
    <w:rsid w:val="00C801FE"/>
    <w:rsid w:val="00C81F3C"/>
    <w:rsid w:val="00C92B5F"/>
    <w:rsid w:val="00CA1582"/>
    <w:rsid w:val="00CC6BDB"/>
    <w:rsid w:val="00CC7E25"/>
    <w:rsid w:val="00CE2CD2"/>
    <w:rsid w:val="00CF0027"/>
    <w:rsid w:val="00CF6FA0"/>
    <w:rsid w:val="00CF795B"/>
    <w:rsid w:val="00D02D79"/>
    <w:rsid w:val="00D04EA8"/>
    <w:rsid w:val="00D12F14"/>
    <w:rsid w:val="00D16F83"/>
    <w:rsid w:val="00D26A07"/>
    <w:rsid w:val="00D40254"/>
    <w:rsid w:val="00D404D8"/>
    <w:rsid w:val="00D44B34"/>
    <w:rsid w:val="00D469E0"/>
    <w:rsid w:val="00D5451D"/>
    <w:rsid w:val="00D63D11"/>
    <w:rsid w:val="00D64411"/>
    <w:rsid w:val="00D64670"/>
    <w:rsid w:val="00D74C17"/>
    <w:rsid w:val="00D92108"/>
    <w:rsid w:val="00D93AB2"/>
    <w:rsid w:val="00DA5BEB"/>
    <w:rsid w:val="00DB7AC1"/>
    <w:rsid w:val="00DF1828"/>
    <w:rsid w:val="00E05216"/>
    <w:rsid w:val="00E1109B"/>
    <w:rsid w:val="00E24A4E"/>
    <w:rsid w:val="00E309E7"/>
    <w:rsid w:val="00E5030D"/>
    <w:rsid w:val="00E52612"/>
    <w:rsid w:val="00E629DC"/>
    <w:rsid w:val="00E71FCC"/>
    <w:rsid w:val="00E82B48"/>
    <w:rsid w:val="00E9618B"/>
    <w:rsid w:val="00E96FEC"/>
    <w:rsid w:val="00EA1EDC"/>
    <w:rsid w:val="00EB0D70"/>
    <w:rsid w:val="00EB4886"/>
    <w:rsid w:val="00EC374E"/>
    <w:rsid w:val="00EC3946"/>
    <w:rsid w:val="00EC3CAD"/>
    <w:rsid w:val="00EE0CD0"/>
    <w:rsid w:val="00F2384F"/>
    <w:rsid w:val="00F45BAE"/>
    <w:rsid w:val="00F6021B"/>
    <w:rsid w:val="00F62D3C"/>
    <w:rsid w:val="00F72F3E"/>
    <w:rsid w:val="00F73AA9"/>
    <w:rsid w:val="00F76C2A"/>
    <w:rsid w:val="00F804C2"/>
    <w:rsid w:val="00F82C42"/>
    <w:rsid w:val="00FA7EFE"/>
    <w:rsid w:val="00FB011A"/>
    <w:rsid w:val="00FB5F77"/>
    <w:rsid w:val="00FC625C"/>
    <w:rsid w:val="00FC7BA8"/>
    <w:rsid w:val="00FD0297"/>
    <w:rsid w:val="00FD212B"/>
    <w:rsid w:val="00FD49A5"/>
    <w:rsid w:val="00FD609B"/>
    <w:rsid w:val="00FE4720"/>
    <w:rsid w:val="00FF1226"/>
    <w:rsid w:val="00FF7C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28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00A4B-3901-4555-A175-540B3A748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621</Words>
  <Characters>3545</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2015-08-14T06:06:00Z</dcterms:created>
  <dcterms:modified xsi:type="dcterms:W3CDTF">2015-08-14T06:18:00Z</dcterms:modified>
</cp:coreProperties>
</file>